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9277" w14:textId="075057DA" w:rsidR="003C059F" w:rsidRDefault="003C059F" w:rsidP="003C059F">
      <w:pPr>
        <w:spacing w:after="0"/>
        <w:jc w:val="right"/>
        <w:rPr>
          <w:rFonts w:ascii="Arial" w:hAnsi="Arial" w:cs="Arial"/>
          <w:bCs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046FBFF" wp14:editId="2E3E34A6">
            <wp:extent cx="1835389" cy="106680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29" cy="108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CE92" w14:textId="1423238C" w:rsidR="009B7BFE" w:rsidRPr="00FF4062" w:rsidRDefault="003C059F" w:rsidP="009B7BFE">
      <w:pPr>
        <w:spacing w:after="0"/>
        <w:jc w:val="both"/>
        <w:rPr>
          <w:rFonts w:ascii="Arial" w:hAnsi="Arial" w:cs="Arial"/>
          <w:bCs/>
          <w:color w:val="2D2C2D"/>
          <w:shd w:val="clear" w:color="auto" w:fill="FFFFFF"/>
        </w:rPr>
      </w:pPr>
      <w:r>
        <w:rPr>
          <w:rFonts w:ascii="Arial" w:hAnsi="Arial" w:cs="Arial"/>
          <w:bCs/>
        </w:rPr>
        <w:t>H</w:t>
      </w:r>
      <w:r w:rsidR="006E5793" w:rsidRPr="00FF4062">
        <w:rPr>
          <w:rFonts w:ascii="Arial" w:hAnsi="Arial" w:cs="Arial"/>
          <w:bCs/>
        </w:rPr>
        <w:t>ANKE „</w:t>
      </w:r>
      <w:r w:rsidR="00EC0B13" w:rsidRPr="00FF4062">
        <w:rPr>
          <w:rFonts w:ascii="Arial" w:hAnsi="Arial" w:cs="Arial"/>
          <w:bCs/>
          <w:color w:val="2D2C2D"/>
          <w:shd w:val="clear" w:color="auto" w:fill="FFFFFF"/>
        </w:rPr>
        <w:t>Kõrge abivajadusega ja riskikä</w:t>
      </w:r>
      <w:r w:rsidR="009B7BFE" w:rsidRPr="00FF4062">
        <w:rPr>
          <w:rFonts w:ascii="Arial" w:hAnsi="Arial" w:cs="Arial"/>
          <w:bCs/>
          <w:color w:val="2D2C2D"/>
          <w:shd w:val="clear" w:color="auto" w:fill="FFFFFF"/>
        </w:rPr>
        <w:t>itumisega laste ja noortega töötavate spetsilistide baaskoolitus</w:t>
      </w:r>
      <w:r w:rsidR="00FF4062" w:rsidRPr="00FF4062">
        <w:rPr>
          <w:rFonts w:ascii="Arial" w:hAnsi="Arial" w:cs="Arial"/>
          <w:bCs/>
          <w:color w:val="2D2C2D"/>
          <w:shd w:val="clear" w:color="auto" w:fill="FFFFFF"/>
        </w:rPr>
        <w:t>”</w:t>
      </w:r>
    </w:p>
    <w:p w14:paraId="448D266F" w14:textId="77777777" w:rsidR="00B41890" w:rsidRPr="00B41890" w:rsidRDefault="00B41890" w:rsidP="009B7BFE">
      <w:pPr>
        <w:spacing w:after="0"/>
        <w:jc w:val="both"/>
        <w:rPr>
          <w:rFonts w:ascii="Arial" w:hAnsi="Arial" w:cs="Arial"/>
          <w:b/>
        </w:rPr>
      </w:pPr>
    </w:p>
    <w:p w14:paraId="1669186F" w14:textId="76084E48" w:rsidR="00B41890" w:rsidRPr="00B41890" w:rsidRDefault="003A7A2C" w:rsidP="00741553">
      <w:pPr>
        <w:spacing w:after="0"/>
        <w:jc w:val="both"/>
        <w:rPr>
          <w:rFonts w:ascii="Arial" w:hAnsi="Arial" w:cs="Arial"/>
          <w:b/>
        </w:rPr>
      </w:pPr>
      <w:r w:rsidRPr="00B41890">
        <w:rPr>
          <w:rFonts w:ascii="Arial" w:hAnsi="Arial" w:cs="Arial"/>
          <w:b/>
        </w:rPr>
        <w:t xml:space="preserve">KOOLITUSKAVA: </w:t>
      </w:r>
    </w:p>
    <w:p w14:paraId="4E7AFF43" w14:textId="3283575F" w:rsidR="00DF646F" w:rsidRPr="00B41890" w:rsidRDefault="00DF646F" w:rsidP="00DF646F">
      <w:pPr>
        <w:spacing w:after="0"/>
        <w:jc w:val="both"/>
        <w:rPr>
          <w:rFonts w:ascii="Arial" w:hAnsi="Arial" w:cs="Arial"/>
        </w:rPr>
      </w:pPr>
      <w:r w:rsidRPr="00B41890">
        <w:rPr>
          <w:rFonts w:ascii="Arial" w:hAnsi="Arial" w:cs="Arial"/>
          <w:b/>
        </w:rPr>
        <w:t>2.</w:t>
      </w:r>
      <w:r w:rsidRPr="00B41890">
        <w:rPr>
          <w:rFonts w:ascii="Arial" w:hAnsi="Arial" w:cs="Arial"/>
        </w:rPr>
        <w:t xml:space="preserve"> MOODUL: </w:t>
      </w:r>
      <w:r w:rsidR="0062409D">
        <w:rPr>
          <w:rFonts w:ascii="Arial" w:hAnsi="Arial" w:cs="Arial"/>
        </w:rPr>
        <w:t>L</w:t>
      </w:r>
      <w:r w:rsidR="0062409D" w:rsidRPr="0062409D">
        <w:rPr>
          <w:rFonts w:ascii="Arial" w:hAnsi="Arial" w:cs="Arial"/>
        </w:rPr>
        <w:t>apse areng, arengukeskkonna mõju aju arengule ja käitumisele. Ebasoodsad lapsepõlvekogemused traumakogemuse tekitajana. Traumast taastumise toetamine</w:t>
      </w:r>
    </w:p>
    <w:tbl>
      <w:tblPr>
        <w:tblStyle w:val="Heleruuttabel1"/>
        <w:tblW w:w="9747" w:type="dxa"/>
        <w:tblLook w:val="04A0" w:firstRow="1" w:lastRow="0" w:firstColumn="1" w:lastColumn="0" w:noHBand="0" w:noVBand="1"/>
      </w:tblPr>
      <w:tblGrid>
        <w:gridCol w:w="4439"/>
        <w:gridCol w:w="1720"/>
        <w:gridCol w:w="1766"/>
        <w:gridCol w:w="1822"/>
      </w:tblGrid>
      <w:tr w:rsidR="00DF646F" w:rsidRPr="00B41890" w14:paraId="11DA0A16" w14:textId="77777777" w:rsidTr="00996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C6D9F1" w:themeFill="text2" w:themeFillTint="33"/>
          </w:tcPr>
          <w:p w14:paraId="5F9F81A2" w14:textId="265744CA" w:rsidR="00DF646F" w:rsidRPr="00B41890" w:rsidRDefault="0062409D" w:rsidP="00FF4062">
            <w:pPr>
              <w:spacing w:after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>Mooduli sisukirjeldus ja maht –  Tellija ettepanek</w:t>
            </w:r>
          </w:p>
        </w:tc>
        <w:tc>
          <w:tcPr>
            <w:tcW w:w="5141" w:type="dxa"/>
            <w:gridSpan w:val="3"/>
            <w:shd w:val="clear" w:color="auto" w:fill="C6D9F1" w:themeFill="text2" w:themeFillTint="33"/>
          </w:tcPr>
          <w:p w14:paraId="053D0AF5" w14:textId="54775C9D" w:rsidR="00DF646F" w:rsidRPr="00B41890" w:rsidRDefault="0062409D" w:rsidP="00FF406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>Mooduli eesmärk ja õpiväljundid – Tellija ettepanek</w:t>
            </w:r>
          </w:p>
        </w:tc>
      </w:tr>
      <w:tr w:rsidR="00DF646F" w:rsidRPr="00B41890" w14:paraId="6A388E61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003DC67" w14:textId="2568EE47" w:rsidR="0062409D" w:rsidRPr="0062409D" w:rsidRDefault="0062409D" w:rsidP="0062409D">
            <w:pPr>
              <w:spacing w:after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>Teema</w:t>
            </w:r>
            <w:r>
              <w:rPr>
                <w:rFonts w:ascii="Arial" w:hAnsi="Arial" w:cs="Arial"/>
              </w:rPr>
              <w:t>d</w:t>
            </w:r>
            <w:r w:rsidRPr="0062409D">
              <w:rPr>
                <w:rFonts w:ascii="Arial" w:hAnsi="Arial" w:cs="Arial"/>
              </w:rPr>
              <w:t>: Lapse areng, arengukeskkonna mõju aju arengule ja käitumisele.</w:t>
            </w:r>
          </w:p>
          <w:p w14:paraId="1F2B260D" w14:textId="77777777" w:rsidR="0062409D" w:rsidRPr="0062409D" w:rsidRDefault="0062409D" w:rsidP="0062409D">
            <w:pPr>
              <w:spacing w:after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>Ebasoodsad lapsepõlvekogemused traumakogemuse tekitajana. Traumast taastumise toetamine.</w:t>
            </w:r>
          </w:p>
          <w:p w14:paraId="555F70E7" w14:textId="77777777" w:rsidR="0062409D" w:rsidRPr="0062409D" w:rsidRDefault="0062409D" w:rsidP="0062409D">
            <w:pPr>
              <w:spacing w:after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 xml:space="preserve">Maht: auditoorne töö kahe järjestikusel päeval + iseseisev töö. </w:t>
            </w:r>
          </w:p>
          <w:p w14:paraId="2FDB4233" w14:textId="497B1FE4" w:rsidR="00DF646F" w:rsidRPr="00B41890" w:rsidRDefault="0062409D" w:rsidP="0062409D">
            <w:pPr>
              <w:spacing w:after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>Läbimise tingimused: Osalemine kontaktkoolitusel ja iseseisva töö esitamine koolitaja poolt antud tähtajaks, mille tagasisidestamine toimub Juhani/digiriigi kaudu</w:t>
            </w:r>
          </w:p>
        </w:tc>
        <w:tc>
          <w:tcPr>
            <w:tcW w:w="5141" w:type="dxa"/>
            <w:gridSpan w:val="3"/>
          </w:tcPr>
          <w:p w14:paraId="5EA78CC1" w14:textId="77777777" w:rsidR="0062409D" w:rsidRPr="0062409D" w:rsidRDefault="0062409D" w:rsidP="0062409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 xml:space="preserve">Mooduli eesmärk on anda ülevaade lapse arengust (vaimne, füüsiline, seksuaalne jne) ja arengukeskkonna sh traumeerivate kogemuste mõjust psüühika- ja käitumishäirete kujunemisele ning toetava keskkonna mõjust lapse enesekindluse tõstmisel läbi tugevustele/kaitsefaktoritele keskendumise. Oluline on kujundada õppijates baasuskumus, et traumast taastumine on võimalik. </w:t>
            </w:r>
          </w:p>
          <w:p w14:paraId="5CCFBCB3" w14:textId="77777777" w:rsidR="0062409D" w:rsidRPr="0062409D" w:rsidRDefault="0062409D" w:rsidP="0062409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871125" w14:textId="2D06BDE2" w:rsidR="0062409D" w:rsidRPr="0062409D" w:rsidRDefault="0062409D" w:rsidP="0062409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>Ettepanekud: Ühe koolitusteema alusmaterjalina kasutada traumast taastumise mudelit</w:t>
            </w:r>
            <w:r>
              <w:rPr>
                <w:rFonts w:ascii="Arial" w:hAnsi="Arial" w:cs="Arial"/>
              </w:rPr>
              <w:t>.</w:t>
            </w:r>
            <w:r w:rsidRPr="0062409D">
              <w:rPr>
                <w:rFonts w:ascii="Arial" w:hAnsi="Arial" w:cs="Arial"/>
              </w:rPr>
              <w:t xml:space="preserve"> </w:t>
            </w:r>
          </w:p>
          <w:p w14:paraId="60A9846B" w14:textId="77777777" w:rsidR="0062409D" w:rsidRPr="0062409D" w:rsidRDefault="0062409D" w:rsidP="0062409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6FF5E1" w14:textId="6249DDC0" w:rsidR="001F58B8" w:rsidRPr="00B41890" w:rsidRDefault="0062409D" w:rsidP="0062409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409D">
              <w:rPr>
                <w:rFonts w:ascii="Arial" w:hAnsi="Arial" w:cs="Arial"/>
              </w:rPr>
              <w:t>Õpiväljundid: Õppija mõistab laste arengueripärasid ja traumateadlikku lähenemist, oskab märgata lapse käitumise muutusi ning reageerida vajaduspõhiselt.</w:t>
            </w:r>
          </w:p>
        </w:tc>
      </w:tr>
      <w:tr w:rsidR="00DF646F" w:rsidRPr="00B41890" w14:paraId="23162D23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Merge w:val="restart"/>
            <w:shd w:val="clear" w:color="auto" w:fill="C6D9F1" w:themeFill="text2" w:themeFillTint="33"/>
          </w:tcPr>
          <w:p w14:paraId="16BB10AF" w14:textId="4402731B" w:rsidR="00DF646F" w:rsidRPr="00B41890" w:rsidRDefault="0062409D" w:rsidP="00FF406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Täitja</w:t>
            </w:r>
            <w:r w:rsidR="00DF646F" w:rsidRPr="00B41890">
              <w:rPr>
                <w:rFonts w:ascii="Arial" w:hAnsi="Arial" w:cs="Arial"/>
              </w:rPr>
              <w:t xml:space="preserve"> nägemus - mooduli pealkiri, eesmärk ja maht, mooduli läbimise tingimused – (sh teemade käsitlemise maht, õppevorm, iseseisvad tööd ja tagasisidestamine).</w:t>
            </w:r>
          </w:p>
        </w:tc>
        <w:tc>
          <w:tcPr>
            <w:tcW w:w="5141" w:type="dxa"/>
            <w:gridSpan w:val="3"/>
            <w:shd w:val="clear" w:color="auto" w:fill="C6D9F1" w:themeFill="text2" w:themeFillTint="33"/>
          </w:tcPr>
          <w:p w14:paraId="217BBD34" w14:textId="77777777" w:rsidR="00DF646F" w:rsidRPr="00B41890" w:rsidRDefault="00DF646F" w:rsidP="00FF406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1890">
              <w:rPr>
                <w:rFonts w:ascii="Arial" w:hAnsi="Arial" w:cs="Arial"/>
                <w:b/>
              </w:rPr>
              <w:t>Mooduli alateemad ja sisukirjeldus, õpiväljundid, ja koolitajad.</w:t>
            </w:r>
          </w:p>
        </w:tc>
      </w:tr>
      <w:tr w:rsidR="00DF646F" w:rsidRPr="00B41890" w14:paraId="046D8ED4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Merge/>
            <w:shd w:val="clear" w:color="auto" w:fill="C6D9F1" w:themeFill="text2" w:themeFillTint="33"/>
          </w:tcPr>
          <w:p w14:paraId="24CE68DD" w14:textId="77777777" w:rsidR="00DF646F" w:rsidRPr="00B41890" w:rsidRDefault="00DF646F" w:rsidP="00FF406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85" w:type="dxa"/>
            <w:shd w:val="clear" w:color="auto" w:fill="C6D9F1" w:themeFill="text2" w:themeFillTint="33"/>
          </w:tcPr>
          <w:p w14:paraId="1D99B543" w14:textId="77777777" w:rsidR="00DF646F" w:rsidRPr="00B41890" w:rsidRDefault="00DF646F" w:rsidP="00FF406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41890">
              <w:rPr>
                <w:rFonts w:ascii="Arial" w:hAnsi="Arial" w:cs="Arial"/>
                <w:b/>
              </w:rPr>
              <w:t>Sisu, alateemad ja õppemeetodid</w:t>
            </w:r>
          </w:p>
        </w:tc>
        <w:tc>
          <w:tcPr>
            <w:tcW w:w="1785" w:type="dxa"/>
            <w:shd w:val="clear" w:color="auto" w:fill="C6D9F1" w:themeFill="text2" w:themeFillTint="33"/>
          </w:tcPr>
          <w:p w14:paraId="2CCB900D" w14:textId="77777777" w:rsidR="00DF646F" w:rsidRPr="00B41890" w:rsidRDefault="00DF646F" w:rsidP="00FF406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41890">
              <w:rPr>
                <w:rFonts w:ascii="Arial" w:hAnsi="Arial" w:cs="Arial"/>
                <w:b/>
              </w:rPr>
              <w:t>Õpiväljundid</w:t>
            </w:r>
          </w:p>
        </w:tc>
        <w:tc>
          <w:tcPr>
            <w:tcW w:w="1871" w:type="dxa"/>
            <w:shd w:val="clear" w:color="auto" w:fill="C6D9F1" w:themeFill="text2" w:themeFillTint="33"/>
          </w:tcPr>
          <w:p w14:paraId="18620BDB" w14:textId="77777777" w:rsidR="00DF646F" w:rsidRPr="00B41890" w:rsidRDefault="00DF646F" w:rsidP="00FF406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B41890">
              <w:rPr>
                <w:rFonts w:ascii="Arial" w:hAnsi="Arial" w:cs="Arial"/>
                <w:b/>
              </w:rPr>
              <w:t>Koolitajad</w:t>
            </w:r>
          </w:p>
        </w:tc>
      </w:tr>
      <w:tr w:rsidR="00DF646F" w:rsidRPr="00B41890" w14:paraId="129FD9C2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7A0D0C51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619E6D32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15CFF50D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65F8BE0D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4E2CBB56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971A392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379CE571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191AEBE2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38D7E9AF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5DD0B87D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51BA723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30E7BBD6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451DDD94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25CA52A1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1DCA1BA1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B42709F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2EE75C1B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7CC53133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33FD76FA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247B4B45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6D92BBEA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313FE457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7B279978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393795D1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791CBC53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9034F77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7F0C40F3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14249760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5AD00355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00BD2F63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E71C44C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4D847319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6D40579A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586DA0C3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710E4542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74CF9492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5A839A4D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05C36BB2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35073879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7052A503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B83E3DF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1DC9B542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5E3B773F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2A5A96A9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38912A98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D915934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3C17F622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7E4A52CF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0457D4F3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21D2C7A5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41BEB87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2E275982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36A1A44C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7228C9CE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66775CB8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E41B652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29FC362A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4BB6C2F2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3D61A803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646F" w:rsidRPr="00B41890" w14:paraId="6D838B9C" w14:textId="77777777" w:rsidTr="00996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C2CF2B0" w14:textId="77777777" w:rsidR="00DF646F" w:rsidRPr="00B41890" w:rsidRDefault="00DF646F" w:rsidP="009969F4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3366F65F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left w:val="single" w:sz="4" w:space="0" w:color="auto"/>
            </w:tcBorders>
          </w:tcPr>
          <w:p w14:paraId="10066957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6103E560" w14:textId="77777777" w:rsidR="00DF646F" w:rsidRPr="00B41890" w:rsidRDefault="00DF646F" w:rsidP="009969F4">
            <w:pPr>
              <w:pStyle w:val="Loendilik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172CFE9" w14:textId="37B017D1" w:rsidR="00BC2167" w:rsidRPr="00B41890" w:rsidRDefault="00BC2167" w:rsidP="00D676C1">
      <w:pPr>
        <w:spacing w:after="0"/>
        <w:jc w:val="both"/>
        <w:rPr>
          <w:rFonts w:ascii="Arial" w:hAnsi="Arial" w:cs="Arial"/>
        </w:rPr>
      </w:pPr>
    </w:p>
    <w:sectPr w:rsidR="00BC2167" w:rsidRPr="00B4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25DB" w14:textId="77777777" w:rsidR="008E2771" w:rsidRDefault="008E2771" w:rsidP="00442D1C">
      <w:pPr>
        <w:spacing w:after="0" w:line="240" w:lineRule="auto"/>
      </w:pPr>
      <w:r>
        <w:separator/>
      </w:r>
    </w:p>
  </w:endnote>
  <w:endnote w:type="continuationSeparator" w:id="0">
    <w:p w14:paraId="649A82BB" w14:textId="77777777" w:rsidR="008E2771" w:rsidRDefault="008E2771" w:rsidP="0044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87E9" w14:textId="77777777" w:rsidR="008E2771" w:rsidRDefault="008E2771" w:rsidP="00442D1C">
      <w:pPr>
        <w:spacing w:after="0" w:line="240" w:lineRule="auto"/>
      </w:pPr>
      <w:r>
        <w:separator/>
      </w:r>
    </w:p>
  </w:footnote>
  <w:footnote w:type="continuationSeparator" w:id="0">
    <w:p w14:paraId="62B3F2EB" w14:textId="77777777" w:rsidR="008E2771" w:rsidRDefault="008E2771" w:rsidP="00442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4D9"/>
    <w:multiLevelType w:val="multilevel"/>
    <w:tmpl w:val="0EE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32E18"/>
    <w:multiLevelType w:val="hybridMultilevel"/>
    <w:tmpl w:val="13D2AB9C"/>
    <w:lvl w:ilvl="0" w:tplc="042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AE0"/>
    <w:multiLevelType w:val="hybridMultilevel"/>
    <w:tmpl w:val="46E051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7BF0"/>
    <w:multiLevelType w:val="hybridMultilevel"/>
    <w:tmpl w:val="100AC5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676D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D51FF2"/>
    <w:multiLevelType w:val="hybridMultilevel"/>
    <w:tmpl w:val="91A031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223F"/>
    <w:multiLevelType w:val="hybridMultilevel"/>
    <w:tmpl w:val="4462F49C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4356"/>
    <w:multiLevelType w:val="hybridMultilevel"/>
    <w:tmpl w:val="A4F86756"/>
    <w:lvl w:ilvl="0" w:tplc="601EEB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AA8"/>
    <w:multiLevelType w:val="hybridMultilevel"/>
    <w:tmpl w:val="DB56F2B8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468"/>
    <w:multiLevelType w:val="hybridMultilevel"/>
    <w:tmpl w:val="ECECA280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D20E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112A15"/>
    <w:multiLevelType w:val="hybridMultilevel"/>
    <w:tmpl w:val="4B92B14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1369A"/>
    <w:multiLevelType w:val="multilevel"/>
    <w:tmpl w:val="D02A89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42377792"/>
    <w:multiLevelType w:val="hybridMultilevel"/>
    <w:tmpl w:val="979CE294"/>
    <w:lvl w:ilvl="0" w:tplc="303256D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246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EA1A8D"/>
    <w:multiLevelType w:val="hybridMultilevel"/>
    <w:tmpl w:val="AC141F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15747"/>
    <w:multiLevelType w:val="hybridMultilevel"/>
    <w:tmpl w:val="E21CE6A8"/>
    <w:lvl w:ilvl="0" w:tplc="991E95B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816F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EC5CA1"/>
    <w:multiLevelType w:val="hybridMultilevel"/>
    <w:tmpl w:val="46E051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C612C"/>
    <w:multiLevelType w:val="hybridMultilevel"/>
    <w:tmpl w:val="55BED2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E49F3"/>
    <w:multiLevelType w:val="hybridMultilevel"/>
    <w:tmpl w:val="C67C3444"/>
    <w:lvl w:ilvl="0" w:tplc="156AF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6EB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8679355">
    <w:abstractNumId w:val="11"/>
  </w:num>
  <w:num w:numId="2" w16cid:durableId="1183015441">
    <w:abstractNumId w:val="4"/>
  </w:num>
  <w:num w:numId="3" w16cid:durableId="1147353745">
    <w:abstractNumId w:val="5"/>
  </w:num>
  <w:num w:numId="4" w16cid:durableId="1458180718">
    <w:abstractNumId w:val="3"/>
  </w:num>
  <w:num w:numId="5" w16cid:durableId="1386948817">
    <w:abstractNumId w:val="16"/>
  </w:num>
  <w:num w:numId="6" w16cid:durableId="1994985830">
    <w:abstractNumId w:val="15"/>
  </w:num>
  <w:num w:numId="7" w16cid:durableId="1719550277">
    <w:abstractNumId w:val="21"/>
  </w:num>
  <w:num w:numId="8" w16cid:durableId="1396666413">
    <w:abstractNumId w:val="17"/>
  </w:num>
  <w:num w:numId="9" w16cid:durableId="1617828950">
    <w:abstractNumId w:val="0"/>
  </w:num>
  <w:num w:numId="10" w16cid:durableId="447703878">
    <w:abstractNumId w:val="19"/>
  </w:num>
  <w:num w:numId="11" w16cid:durableId="1256983628">
    <w:abstractNumId w:val="6"/>
  </w:num>
  <w:num w:numId="12" w16cid:durableId="364209449">
    <w:abstractNumId w:val="1"/>
  </w:num>
  <w:num w:numId="13" w16cid:durableId="582959178">
    <w:abstractNumId w:val="10"/>
  </w:num>
  <w:num w:numId="14" w16cid:durableId="2111001057">
    <w:abstractNumId w:val="12"/>
  </w:num>
  <w:num w:numId="15" w16cid:durableId="99450140">
    <w:abstractNumId w:val="14"/>
  </w:num>
  <w:num w:numId="16" w16cid:durableId="61803848">
    <w:abstractNumId w:val="9"/>
  </w:num>
  <w:num w:numId="17" w16cid:durableId="1926497064">
    <w:abstractNumId w:val="20"/>
  </w:num>
  <w:num w:numId="18" w16cid:durableId="997268402">
    <w:abstractNumId w:val="13"/>
  </w:num>
  <w:num w:numId="19" w16cid:durableId="1985768480">
    <w:abstractNumId w:val="7"/>
  </w:num>
  <w:num w:numId="20" w16cid:durableId="1437095743">
    <w:abstractNumId w:val="18"/>
  </w:num>
  <w:num w:numId="21" w16cid:durableId="143088887">
    <w:abstractNumId w:val="2"/>
  </w:num>
  <w:num w:numId="22" w16cid:durableId="1958103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93"/>
    <w:rsid w:val="0000545E"/>
    <w:rsid w:val="0000598D"/>
    <w:rsid w:val="0003457D"/>
    <w:rsid w:val="00055227"/>
    <w:rsid w:val="00070FDE"/>
    <w:rsid w:val="000A3506"/>
    <w:rsid w:val="000C4BA3"/>
    <w:rsid w:val="000C6387"/>
    <w:rsid w:val="000C7AB3"/>
    <w:rsid w:val="000D7D9A"/>
    <w:rsid w:val="000E6319"/>
    <w:rsid w:val="000E76D3"/>
    <w:rsid w:val="00115CF9"/>
    <w:rsid w:val="00117757"/>
    <w:rsid w:val="00126CCC"/>
    <w:rsid w:val="00145232"/>
    <w:rsid w:val="001619D8"/>
    <w:rsid w:val="001954AF"/>
    <w:rsid w:val="001B4A26"/>
    <w:rsid w:val="001D1ABC"/>
    <w:rsid w:val="001F58B8"/>
    <w:rsid w:val="0024062F"/>
    <w:rsid w:val="002575AF"/>
    <w:rsid w:val="00290AD6"/>
    <w:rsid w:val="002E526F"/>
    <w:rsid w:val="00304770"/>
    <w:rsid w:val="0031481D"/>
    <w:rsid w:val="00323930"/>
    <w:rsid w:val="00340AD1"/>
    <w:rsid w:val="0034341B"/>
    <w:rsid w:val="0034400B"/>
    <w:rsid w:val="0035157B"/>
    <w:rsid w:val="0037578F"/>
    <w:rsid w:val="003A7A2C"/>
    <w:rsid w:val="003B1A89"/>
    <w:rsid w:val="003B5B54"/>
    <w:rsid w:val="003B66D0"/>
    <w:rsid w:val="003C059F"/>
    <w:rsid w:val="003D2269"/>
    <w:rsid w:val="003E0E07"/>
    <w:rsid w:val="003E6815"/>
    <w:rsid w:val="003F2DEE"/>
    <w:rsid w:val="00433AD6"/>
    <w:rsid w:val="00442D1C"/>
    <w:rsid w:val="00463B69"/>
    <w:rsid w:val="004742E9"/>
    <w:rsid w:val="00486E04"/>
    <w:rsid w:val="004920E3"/>
    <w:rsid w:val="004A03FF"/>
    <w:rsid w:val="004A0DFA"/>
    <w:rsid w:val="004B61F3"/>
    <w:rsid w:val="004D67B9"/>
    <w:rsid w:val="004E0B31"/>
    <w:rsid w:val="004E2CED"/>
    <w:rsid w:val="004E4CFB"/>
    <w:rsid w:val="004F63B0"/>
    <w:rsid w:val="00532CAA"/>
    <w:rsid w:val="00542A94"/>
    <w:rsid w:val="005753DF"/>
    <w:rsid w:val="00595781"/>
    <w:rsid w:val="005A42C9"/>
    <w:rsid w:val="005C6F04"/>
    <w:rsid w:val="005C77B2"/>
    <w:rsid w:val="0062409D"/>
    <w:rsid w:val="006314CC"/>
    <w:rsid w:val="0065557F"/>
    <w:rsid w:val="0066377F"/>
    <w:rsid w:val="00670CF9"/>
    <w:rsid w:val="006730F2"/>
    <w:rsid w:val="0067579B"/>
    <w:rsid w:val="00677F44"/>
    <w:rsid w:val="00687A35"/>
    <w:rsid w:val="006946F4"/>
    <w:rsid w:val="0069552D"/>
    <w:rsid w:val="006B5FF9"/>
    <w:rsid w:val="006C270E"/>
    <w:rsid w:val="006C385F"/>
    <w:rsid w:val="006D6F96"/>
    <w:rsid w:val="006E5793"/>
    <w:rsid w:val="006E6028"/>
    <w:rsid w:val="00705A34"/>
    <w:rsid w:val="00711E16"/>
    <w:rsid w:val="0071288E"/>
    <w:rsid w:val="007272D2"/>
    <w:rsid w:val="00735FF8"/>
    <w:rsid w:val="00741553"/>
    <w:rsid w:val="00756942"/>
    <w:rsid w:val="0076143F"/>
    <w:rsid w:val="00794091"/>
    <w:rsid w:val="007B6F1B"/>
    <w:rsid w:val="007D1A93"/>
    <w:rsid w:val="007D1B5B"/>
    <w:rsid w:val="00801CB7"/>
    <w:rsid w:val="008901F7"/>
    <w:rsid w:val="008A14A8"/>
    <w:rsid w:val="008B146C"/>
    <w:rsid w:val="008C6F4F"/>
    <w:rsid w:val="008E1C0B"/>
    <w:rsid w:val="008E22F3"/>
    <w:rsid w:val="008E2771"/>
    <w:rsid w:val="008F7EEE"/>
    <w:rsid w:val="00901788"/>
    <w:rsid w:val="009026CE"/>
    <w:rsid w:val="0090402C"/>
    <w:rsid w:val="00921453"/>
    <w:rsid w:val="009269D1"/>
    <w:rsid w:val="00932CA4"/>
    <w:rsid w:val="009768D8"/>
    <w:rsid w:val="00985DD1"/>
    <w:rsid w:val="009B5DA6"/>
    <w:rsid w:val="009B7BFE"/>
    <w:rsid w:val="009C28D5"/>
    <w:rsid w:val="009C4F26"/>
    <w:rsid w:val="009D0E26"/>
    <w:rsid w:val="009E6CE9"/>
    <w:rsid w:val="009F07F4"/>
    <w:rsid w:val="009F38FF"/>
    <w:rsid w:val="009F5EB8"/>
    <w:rsid w:val="00A3551A"/>
    <w:rsid w:val="00A36AC0"/>
    <w:rsid w:val="00A42620"/>
    <w:rsid w:val="00A5371B"/>
    <w:rsid w:val="00A570BA"/>
    <w:rsid w:val="00A573C4"/>
    <w:rsid w:val="00AA75A4"/>
    <w:rsid w:val="00AE68C2"/>
    <w:rsid w:val="00B0535F"/>
    <w:rsid w:val="00B32CBB"/>
    <w:rsid w:val="00B403BC"/>
    <w:rsid w:val="00B41890"/>
    <w:rsid w:val="00B452B6"/>
    <w:rsid w:val="00BA2D16"/>
    <w:rsid w:val="00BC2167"/>
    <w:rsid w:val="00BC7762"/>
    <w:rsid w:val="00BE0BC5"/>
    <w:rsid w:val="00BF1E8B"/>
    <w:rsid w:val="00BF7FF5"/>
    <w:rsid w:val="00C138F7"/>
    <w:rsid w:val="00C2023A"/>
    <w:rsid w:val="00C34E9E"/>
    <w:rsid w:val="00C40441"/>
    <w:rsid w:val="00C456A8"/>
    <w:rsid w:val="00C62CFC"/>
    <w:rsid w:val="00C754C5"/>
    <w:rsid w:val="00C95650"/>
    <w:rsid w:val="00CA0680"/>
    <w:rsid w:val="00CE1246"/>
    <w:rsid w:val="00D145DA"/>
    <w:rsid w:val="00D30610"/>
    <w:rsid w:val="00D352BF"/>
    <w:rsid w:val="00D441F4"/>
    <w:rsid w:val="00D676C1"/>
    <w:rsid w:val="00D82D6E"/>
    <w:rsid w:val="00D83ACC"/>
    <w:rsid w:val="00D84F2F"/>
    <w:rsid w:val="00D93595"/>
    <w:rsid w:val="00DB313B"/>
    <w:rsid w:val="00DC6E89"/>
    <w:rsid w:val="00DD15A2"/>
    <w:rsid w:val="00DE1519"/>
    <w:rsid w:val="00DF646F"/>
    <w:rsid w:val="00E430E9"/>
    <w:rsid w:val="00E43F65"/>
    <w:rsid w:val="00E83140"/>
    <w:rsid w:val="00EA4698"/>
    <w:rsid w:val="00EB7042"/>
    <w:rsid w:val="00EC0B13"/>
    <w:rsid w:val="00ED6706"/>
    <w:rsid w:val="00ED7DC8"/>
    <w:rsid w:val="00EF4C31"/>
    <w:rsid w:val="00EF5908"/>
    <w:rsid w:val="00EF62C3"/>
    <w:rsid w:val="00F1165B"/>
    <w:rsid w:val="00F1781C"/>
    <w:rsid w:val="00F2247C"/>
    <w:rsid w:val="00F43473"/>
    <w:rsid w:val="00F73FD2"/>
    <w:rsid w:val="00F974A3"/>
    <w:rsid w:val="00FA0769"/>
    <w:rsid w:val="00FC4F3A"/>
    <w:rsid w:val="00FE13B4"/>
    <w:rsid w:val="00FF1DB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7BF2195"/>
  <w15:chartTrackingRefBased/>
  <w15:docId w15:val="{323B38D2-78DD-4CB4-8C1A-6AB78C6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33AD6"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1">
    <w:name w:val="Kontuurtabel1"/>
    <w:basedOn w:val="Normaaltabel"/>
    <w:next w:val="Kontuurtabel"/>
    <w:uiPriority w:val="59"/>
    <w:rsid w:val="006E57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59"/>
    <w:rsid w:val="006E5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ruuttabel1">
    <w:name w:val="Grid Table 1 Light"/>
    <w:basedOn w:val="Normaaltabel"/>
    <w:uiPriority w:val="46"/>
    <w:rsid w:val="006E57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42C9"/>
    <w:rPr>
      <w:rFonts w:ascii="Segoe UI" w:hAnsi="Segoe UI" w:cs="Segoe UI"/>
      <w:sz w:val="18"/>
      <w:szCs w:val="18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C62CF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62CF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62CFC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62CF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62CFC"/>
    <w:rPr>
      <w:rFonts w:ascii="Verdana" w:hAnsi="Verdana"/>
      <w:b/>
      <w:bCs/>
      <w:lang w:eastAsia="en-US"/>
    </w:rPr>
  </w:style>
  <w:style w:type="paragraph" w:styleId="Loendilik">
    <w:name w:val="List Paragraph"/>
    <w:basedOn w:val="Normaallaad"/>
    <w:uiPriority w:val="34"/>
    <w:qFormat/>
    <w:rsid w:val="005C77B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442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42D1C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42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42D1C"/>
    <w:rPr>
      <w:rFonts w:ascii="Verdana" w:hAnsi="Verdana"/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433AD6"/>
    <w:rPr>
      <w:rFonts w:ascii="Verdana" w:hAnsi="Verdana"/>
      <w:sz w:val="22"/>
      <w:szCs w:val="22"/>
      <w:lang w:eastAsia="en-US"/>
    </w:rPr>
  </w:style>
  <w:style w:type="paragraph" w:customStyle="1" w:styleId="Default">
    <w:name w:val="Default"/>
    <w:rsid w:val="00D83A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902D-9494-40E9-A5EA-D0261B7D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Taimi Nilson</dc:creator>
  <cp:keywords/>
  <dc:description/>
  <cp:lastModifiedBy>Taimi Nilson</cp:lastModifiedBy>
  <cp:revision>3</cp:revision>
  <cp:lastPrinted>2021-11-29T08:16:00Z</cp:lastPrinted>
  <dcterms:created xsi:type="dcterms:W3CDTF">2026-01-05T07:59:00Z</dcterms:created>
  <dcterms:modified xsi:type="dcterms:W3CDTF">2026-01-05T08:00:00Z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